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F8" w:rsidRDefault="004512F8" w:rsidP="004512F8">
      <w:pPr>
        <w:suppressAutoHyphens w:val="0"/>
        <w:autoSpaceDE/>
        <w:spacing w:line="360" w:lineRule="auto"/>
        <w:jc w:val="center"/>
        <w:rPr>
          <w:b/>
          <w:sz w:val="24"/>
          <w:szCs w:val="24"/>
        </w:rPr>
      </w:pPr>
      <w:r w:rsidRPr="00127B40">
        <w:rPr>
          <w:b/>
          <w:sz w:val="24"/>
          <w:szCs w:val="24"/>
        </w:rPr>
        <w:t>Обязательная информация</w:t>
      </w:r>
    </w:p>
    <w:p w:rsidR="004512F8" w:rsidRDefault="004512F8" w:rsidP="004512F8">
      <w:pPr>
        <w:suppressAutoHyphens w:val="0"/>
        <w:autoSpaceDE/>
        <w:spacing w:line="360" w:lineRule="auto"/>
        <w:jc w:val="center"/>
        <w:rPr>
          <w:b/>
          <w:sz w:val="24"/>
          <w:szCs w:val="24"/>
        </w:rPr>
      </w:pPr>
    </w:p>
    <w:p w:rsidR="004512F8" w:rsidRPr="00112DEF" w:rsidRDefault="004512F8" w:rsidP="004512F8">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4512F8" w:rsidRPr="00112DEF" w:rsidRDefault="004512F8" w:rsidP="004512F8">
      <w:pPr>
        <w:spacing w:line="360" w:lineRule="auto"/>
        <w:ind w:firstLine="567"/>
        <w:jc w:val="both"/>
        <w:rPr>
          <w:sz w:val="24"/>
          <w:szCs w:val="24"/>
        </w:rPr>
      </w:pPr>
      <w:r w:rsidRPr="006267D6">
        <w:rPr>
          <w:sz w:val="24"/>
          <w:szCs w:val="24"/>
        </w:rPr>
        <w:t>ЗПИФ смешанных инвестиций "Фонд стратегических инвестиций 3" (Правила доверительного управления фондом зарегистрированы ФСФР России 14 июня 2012 г. за № 2370)</w:t>
      </w:r>
      <w:r>
        <w:rPr>
          <w:sz w:val="24"/>
          <w:szCs w:val="24"/>
        </w:rPr>
        <w:t>.</w:t>
      </w:r>
    </w:p>
    <w:p w:rsidR="004512F8" w:rsidRPr="00112DEF" w:rsidRDefault="004512F8" w:rsidP="004512F8">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rsidR="004512F8" w:rsidRDefault="004512F8" w:rsidP="004512F8">
      <w:pPr>
        <w:suppressAutoHyphens w:val="0"/>
        <w:autoSpaceDE/>
        <w:spacing w:after="160"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br w:type="page"/>
      </w:r>
    </w:p>
    <w:p w:rsidR="004512F8" w:rsidRDefault="004512F8"/>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196BC2" w:rsidRPr="00D339D9">
              <w:t>12</w:t>
            </w:r>
            <w:r w:rsidR="009E578F" w:rsidRPr="00591BAB">
              <w:t xml:space="preserve"> </w:t>
            </w:r>
            <w:r w:rsidRPr="00591BAB">
              <w:t xml:space="preserve">» </w:t>
            </w:r>
            <w:r w:rsidR="009E578F" w:rsidRPr="00591BAB">
              <w:t xml:space="preserve">       </w:t>
            </w:r>
            <w:r w:rsidR="00196BC2">
              <w:t>января</w:t>
            </w:r>
            <w:r w:rsidR="009E578F" w:rsidRPr="00591BAB">
              <w:t xml:space="preserve">          </w:t>
            </w:r>
            <w:r w:rsidRPr="00591BAB">
              <w:t>20</w:t>
            </w:r>
            <w:r w:rsidR="0098680B" w:rsidRPr="00591BAB">
              <w:t>2</w:t>
            </w:r>
            <w:r w:rsidR="00D339D9" w:rsidRPr="004512F8">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9E578F" w:rsidRPr="00591BAB">
              <w:t xml:space="preserve"> </w:t>
            </w:r>
            <w:r w:rsidR="00196BC2">
              <w:t>12</w:t>
            </w:r>
            <w:r w:rsidR="009E578F" w:rsidRPr="00591BAB">
              <w:t xml:space="preserve">»     </w:t>
            </w:r>
            <w:r w:rsidR="00196BC2">
              <w:t>января</w:t>
            </w:r>
            <w:r w:rsidR="009E578F" w:rsidRPr="00591BAB">
              <w:t xml:space="preserve">      </w:t>
            </w:r>
            <w:r w:rsidRPr="00591BAB">
              <w:t xml:space="preserve"> 20</w:t>
            </w:r>
            <w:r w:rsidR="0098680B" w:rsidRPr="00591BAB">
              <w:t>2</w:t>
            </w:r>
            <w:r w:rsidR="00D339D9" w:rsidRPr="004512F8">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bookmarkStart w:id="0" w:name="_GoBack"/>
      <w:bookmarkEnd w:id="0"/>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4830DC" w:rsidRDefault="004830DC"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60547D" w:rsidRPr="00340144" w:rsidRDefault="00624AB8" w:rsidP="0060547D">
      <w:pPr>
        <w:tabs>
          <w:tab w:val="left" w:pos="8364"/>
        </w:tabs>
        <w:spacing w:line="360" w:lineRule="auto"/>
        <w:jc w:val="both"/>
        <w:outlineLvl w:val="0"/>
        <w:rPr>
          <w:rFonts w:ascii="Verdana" w:hAnsi="Verdana"/>
          <w:snapToGrid w:val="0"/>
          <w:vertAlign w:val="superscript"/>
        </w:rPr>
      </w:pPr>
      <w:r w:rsidRPr="00876D9F">
        <w:rPr>
          <w:rFonts w:ascii="Verdana" w:hAnsi="Verdana"/>
          <w:snapToGrid w:val="0"/>
          <w:sz w:val="26"/>
          <w:szCs w:val="26"/>
          <w:u w:val="single"/>
        </w:rPr>
        <w:t>ЗАКРЫТЫЙ ПАЕВОЙ ИНВЕСТИЦИОННЫЙ ФОНД СМЕШАННЫХ ИНВЕСТИЦИЙ «ФОНД СТРАТЕГИЧЕСКИХ ИНВЕСТИЦИЙ 3»</w:t>
      </w:r>
    </w:p>
    <w:p w:rsidR="0060547D" w:rsidRPr="00340144" w:rsidRDefault="0060547D" w:rsidP="0060547D">
      <w:pPr>
        <w:tabs>
          <w:tab w:val="left" w:pos="8364"/>
        </w:tabs>
        <w:spacing w:line="360" w:lineRule="auto"/>
        <w:jc w:val="both"/>
        <w:outlineLvl w:val="0"/>
        <w:rPr>
          <w:rFonts w:ascii="Verdana" w:hAnsi="Verdana"/>
          <w:snapToGrid w:val="0"/>
          <w:vertAlign w:val="superscript"/>
        </w:rPr>
      </w:pPr>
      <w:r>
        <w:rPr>
          <w:rFonts w:ascii="Verdana" w:hAnsi="Verdana"/>
          <w:snapToGrid w:val="0"/>
          <w:vertAlign w:val="superscript"/>
        </w:rPr>
        <w:t xml:space="preserve">                                                        </w:t>
      </w:r>
      <w:r w:rsidRPr="00340144">
        <w:rPr>
          <w:rFonts w:ascii="Verdana" w:hAnsi="Verdana"/>
          <w:snapToGrid w:val="0"/>
          <w:vertAlign w:val="superscript"/>
        </w:rPr>
        <w:t xml:space="preserve"> (полное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4830DC">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w:t>
      </w:r>
      <w:r w:rsidR="00624AB8">
        <w:rPr>
          <w:sz w:val="24"/>
          <w:szCs w:val="24"/>
          <w:lang w:eastAsia="ru-RU"/>
        </w:rPr>
        <w:t>Закрытого</w:t>
      </w:r>
      <w:r w:rsidR="0037342E" w:rsidRPr="0037342E">
        <w:rPr>
          <w:sz w:val="24"/>
          <w:szCs w:val="24"/>
          <w:lang w:eastAsia="ru-RU"/>
        </w:rPr>
        <w:t xml:space="preserve"> паевого инвестиционного </w:t>
      </w:r>
      <w:r w:rsidR="00624AB8" w:rsidRPr="00876D9F">
        <w:rPr>
          <w:rFonts w:ascii="Verdana" w:hAnsi="Verdana"/>
          <w:sz w:val="22"/>
          <w:szCs w:val="22"/>
        </w:rPr>
        <w:t>смешанных инвестиций «Фонд стратегических инвестиций 3»</w:t>
      </w:r>
      <w:r w:rsidR="00624AB8" w:rsidRPr="00591BAB">
        <w:rPr>
          <w:sz w:val="24"/>
          <w:szCs w:val="24"/>
          <w:lang w:eastAsia="ru-RU"/>
        </w:rPr>
        <w:t xml:space="preserve"> </w:t>
      </w:r>
      <w:r w:rsidRPr="00591BAB">
        <w:rPr>
          <w:sz w:val="24"/>
          <w:szCs w:val="24"/>
          <w:lang w:eastAsia="ru-RU"/>
        </w:rPr>
        <w:t xml:space="preserve">(далее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4830DC">
        <w:rPr>
          <w:sz w:val="24"/>
          <w:szCs w:val="24"/>
          <w:lang w:eastAsia="ru-RU"/>
        </w:rPr>
        <w:t xml:space="preserve"> изменения и дополнения в</w:t>
      </w:r>
      <w:r w:rsidRPr="00591BAB">
        <w:rPr>
          <w:sz w:val="24"/>
          <w:szCs w:val="24"/>
          <w:lang w:eastAsia="ru-RU"/>
        </w:rPr>
        <w:t xml:space="preserve"> Правила </w:t>
      </w:r>
      <w:r w:rsidR="00C9798E" w:rsidRPr="00591BAB">
        <w:rPr>
          <w:sz w:val="24"/>
          <w:szCs w:val="24"/>
          <w:lang w:eastAsia="ru-RU"/>
        </w:rPr>
        <w:t xml:space="preserve">определения СЧА применяются с </w:t>
      </w:r>
      <w:r w:rsidR="004830DC">
        <w:rPr>
          <w:sz w:val="24"/>
          <w:szCs w:val="24"/>
          <w:lang w:eastAsia="ru-RU"/>
        </w:rPr>
        <w:t>20</w:t>
      </w:r>
      <w:r w:rsidR="005C7817" w:rsidRPr="00591BAB">
        <w:rPr>
          <w:sz w:val="24"/>
          <w:szCs w:val="24"/>
          <w:lang w:eastAsia="ru-RU"/>
        </w:rPr>
        <w:t xml:space="preserve">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lastRenderedPageBreak/>
        <w:t>Ежемесячно на последний рабочий день календарного месяца;</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выдаваемых при досрочном погашении;</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дополнительных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последний рабочий день срока приема заявок на погашение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в случае прекращения паевого инвестиционного Фонда – на дату возникновения основания его прекращения;</w:t>
      </w:r>
    </w:p>
    <w:p w:rsidR="0037342E" w:rsidRPr="00624AB8" w:rsidRDefault="00624AB8" w:rsidP="00624AB8">
      <w:pPr>
        <w:pStyle w:val="a8"/>
        <w:numPr>
          <w:ilvl w:val="0"/>
          <w:numId w:val="75"/>
        </w:numPr>
        <w:autoSpaceDN w:val="0"/>
        <w:adjustRightInd w:val="0"/>
        <w:spacing w:line="360" w:lineRule="auto"/>
        <w:jc w:val="both"/>
        <w:rPr>
          <w:sz w:val="24"/>
          <w:szCs w:val="24"/>
          <w:lang w:eastAsia="ru-RU"/>
        </w:rPr>
      </w:pPr>
      <w:r w:rsidRPr="00624AB8">
        <w:rPr>
          <w:sz w:val="24"/>
          <w:szCs w:val="24"/>
        </w:rPr>
        <w:t>на дату, предшествующую дате передачи прав и обязанностей по договору доверительного управления другой управляющей компании, а также предшествующую дате смены специализированного депозитария.</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w:t>
      </w:r>
      <w:r w:rsidR="002C76E1">
        <w:rPr>
          <w:rFonts w:eastAsia="Batang"/>
          <w:szCs w:val="24"/>
        </w:rPr>
        <w:t>оценщику</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4pt" o:ole="">
            <v:imagedata r:id="rId12" o:title=""/>
          </v:shape>
          <o:OLEObject Type="Embed" ProgID="Equation.3" ShapeID="_x0000_i1025" DrawAspect="Content" ObjectID="_1703518083"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8pt" o:ole="">
            <v:imagedata r:id="rId14" o:title=""/>
          </v:shape>
          <o:OLEObject Type="Embed" ProgID="Equation.3" ShapeID="_x0000_i1026" DrawAspect="Content" ObjectID="_1703518084"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2pt;height:13.2pt" o:ole="">
            <v:imagedata r:id="rId16" o:title=""/>
          </v:shape>
          <o:OLEObject Type="Embed" ProgID="Equation.3" ShapeID="_x0000_i1027" DrawAspect="Content" ObjectID="_1703518085"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8pt;height:18pt" o:ole="">
            <v:imagedata r:id="rId18" o:title=""/>
          </v:shape>
          <o:OLEObject Type="Embed" ProgID="Equation.3" ShapeID="_x0000_i1028" DrawAspect="Content" ObjectID="_1703518086"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2pt;height:18.6pt" o:ole="">
            <v:imagedata r:id="rId20" o:title=""/>
          </v:shape>
          <o:OLEObject Type="Embed" ProgID="Equation.3" ShapeID="_x0000_i1029" DrawAspect="Content" ObjectID="_1703518087"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8pt;height:48pt" o:ole="">
            <v:imagedata r:id="rId22" o:title=""/>
          </v:shape>
          <o:OLEObject Type="Embed" ProgID="Equation.3" ShapeID="_x0000_i1030" DrawAspect="Content" ObjectID="_1703518088"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3518089"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3518090"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6pt;height:9pt" o:ole="">
            <v:imagedata r:id="rId28" o:title=""/>
          </v:shape>
          <o:OLEObject Type="Embed" ProgID="Equation.3" ShapeID="_x0000_i1033" DrawAspect="Content" ObjectID="_1703518091"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3518092"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3518093" r:id="rId33"/>
        </w:object>
      </w:r>
      <w:r w:rsidRPr="00591BAB">
        <w:rPr>
          <w:rFonts w:eastAsia="Batang"/>
          <w:szCs w:val="24"/>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4pt;height:18pt" o:ole="">
            <v:imagedata r:id="rId34" o:title=""/>
          </v:shape>
          <o:OLEObject Type="Embed" ProgID="Equation.3" ShapeID="_x0000_i1036" DrawAspect="Content" ObjectID="_1703518094"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4pt" o:ole="">
                  <v:imagedata r:id="rId36" o:title=""/>
                </v:shape>
                <o:OLEObject Type="Embed" ProgID="Equation.3" ShapeID="_x0000_i1038" DrawAspect="Content" ObjectID="_1703518095"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2pt;height:18.6pt" o:ole="">
            <v:imagedata r:id="rId38" o:title=""/>
          </v:shape>
          <o:OLEObject Type="Embed" ProgID="Equation.3" ShapeID="_x0000_i1039" DrawAspect="Content" ObjectID="_1703518096" r:id="rId39"/>
        </w:object>
      </w:r>
      <w:r w:rsidRPr="00591BAB">
        <w:rPr>
          <w:rFonts w:eastAsia="Batang"/>
          <w:szCs w:val="24"/>
        </w:rPr>
        <w:t xml:space="preserve"> и </w:t>
      </w:r>
      <w:r w:rsidRPr="00591BAB">
        <w:rPr>
          <w:rFonts w:eastAsia="Batang"/>
          <w:szCs w:val="24"/>
        </w:rPr>
        <w:object w:dxaOrig="840" w:dyaOrig="360">
          <v:shape id="_x0000_i1040" type="#_x0000_t75" style="width:43.8pt;height:18pt" o:ole="">
            <v:imagedata r:id="rId40" o:title=""/>
          </v:shape>
          <o:OLEObject Type="Embed" ProgID="Equation.3" ShapeID="_x0000_i1040" DrawAspect="Content" ObjectID="_1703518097"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lastRenderedPageBreak/>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4pt" o:ole="">
            <v:imagedata r:id="rId42" o:title=""/>
          </v:shape>
          <o:OLEObject Type="Embed" ProgID="Equation.3" ShapeID="_x0000_i1041" DrawAspect="Content" ObjectID="_1703518098"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4pt;height:21pt" o:ole="">
            <v:imagedata r:id="rId44" o:title=""/>
          </v:shape>
          <o:OLEObject Type="Embed" ProgID="Equation.3" ShapeID="_x0000_i1042" DrawAspect="Content" ObjectID="_1703518099"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2pt;height:21pt" o:ole="">
            <v:imagedata r:id="rId46" o:title=""/>
          </v:shape>
          <o:OLEObject Type="Embed" ProgID="Equation.3" ShapeID="_x0000_i1043" DrawAspect="Content" ObjectID="_1703518100"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2pt;height:13.2pt" o:ole="">
            <v:imagedata r:id="rId16" o:title=""/>
          </v:shape>
          <o:OLEObject Type="Embed" ProgID="Equation.3" ShapeID="_x0000_i1044" DrawAspect="Content" ObjectID="_1703518101"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2pt;height:21pt" o:ole="">
            <v:imagedata r:id="rId49" o:title=""/>
          </v:shape>
          <o:OLEObject Type="Embed" ProgID="Equation.3" ShapeID="_x0000_i1045" DrawAspect="Content" ObjectID="_1703518102"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2pt;height:21pt" o:ole="">
            <v:imagedata r:id="rId46" o:title=""/>
          </v:shape>
          <o:OLEObject Type="Embed" ProgID="Equation.3" ShapeID="_x0000_i1046" DrawAspect="Content" ObjectID="_1703518103"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2pt;height:21pt" o:ole="">
            <v:imagedata r:id="rId49" o:title=""/>
          </v:shape>
          <o:OLEObject Type="Embed" ProgID="Equation.3" ShapeID="_x0000_i1047" DrawAspect="Content" ObjectID="_1703518104"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2pt;height:21pt" o:ole="">
            <v:imagedata r:id="rId46" o:title=""/>
          </v:shape>
          <o:OLEObject Type="Embed" ProgID="Equation.3" ShapeID="_x0000_i1048" DrawAspect="Content" ObjectID="_1703518105"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8pt;height:21pt" o:ole="">
            <v:imagedata r:id="rId54" o:title=""/>
          </v:shape>
          <o:OLEObject Type="Embed" ProgID="Equation.3" ShapeID="_x0000_i1049" DrawAspect="Content" ObjectID="_1703518106"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4pt" o:ole="">
            <v:imagedata r:id="rId56" o:title=""/>
          </v:shape>
          <o:OLEObject Type="Embed" ProgID="Equation.3" ShapeID="_x0000_i1050" DrawAspect="Content" ObjectID="_1703518107"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2pt;height:21pt" o:ole="">
            <v:imagedata r:id="rId46" o:title=""/>
          </v:shape>
          <o:OLEObject Type="Embed" ProgID="Equation.3" ShapeID="_x0000_i1051" DrawAspect="Content" ObjectID="_1703518108"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2pt;height:130.8pt" o:ole="">
            <v:imagedata r:id="rId59" o:title=""/>
          </v:shape>
          <o:OLEObject Type="Embed" ProgID="Equation.3" ShapeID="_x0000_i1052" DrawAspect="Content" ObjectID="_1703518109"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4pt;height:21pt" o:ole="">
            <v:imagedata r:id="rId61" o:title=""/>
          </v:shape>
          <o:OLEObject Type="Embed" ProgID="Equation.3" ShapeID="_x0000_i1053" DrawAspect="Content" ObjectID="_1703518110"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3518111"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8pt;height:36pt" o:ole="">
            <v:imagedata r:id="rId65" o:title=""/>
          </v:shape>
          <o:OLEObject Type="Embed" ProgID="Equation.3" ShapeID="_x0000_i1055" DrawAspect="Content" ObjectID="_1703518112"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3518113"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3518114"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2pt;height:21pt" o:ole="">
            <v:imagedata r:id="rId49" o:title=""/>
          </v:shape>
          <o:OLEObject Type="Embed" ProgID="Equation.3" ShapeID="_x0000_i1058" DrawAspect="Content" ObjectID="_1703518115"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6pt" o:ole="">
            <v:imagedata r:id="rId32" o:title=""/>
          </v:shape>
          <o:OLEObject Type="Embed" ProgID="Equation.3" ShapeID="_x0000_i1059" DrawAspect="Content" ObjectID="_1703518116" r:id="rId70"/>
        </w:object>
      </w:r>
      <w:r w:rsidR="00421397" w:rsidRPr="00591BAB">
        <w:rPr>
          <w:sz w:val="24"/>
          <w:szCs w:val="24"/>
          <w:lang w:eastAsia="ru-RU"/>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2pt;height:21pt" o:ole="">
            <v:imagedata r:id="rId49" o:title=""/>
          </v:shape>
          <o:OLEObject Type="Embed" ProgID="Equation.3" ShapeID="_x0000_i1060" DrawAspect="Content" ObjectID="_1703518117"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8pt;height:21pt" o:ole="">
            <v:imagedata r:id="rId72" o:title=""/>
          </v:shape>
          <o:OLEObject Type="Embed" ProgID="Equation.3" ShapeID="_x0000_i1061" DrawAspect="Content" ObjectID="_1703518118"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4pt;height:21pt" o:ole="">
            <v:imagedata r:id="rId34" o:title=""/>
          </v:shape>
          <o:OLEObject Type="Embed" ProgID="Equation.3" ShapeID="_x0000_i1062" DrawAspect="Content" ObjectID="_1703518119"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2pt;height:21pt" o:ole="">
            <v:imagedata r:id="rId49" o:title=""/>
          </v:shape>
          <o:OLEObject Type="Embed" ProgID="Equation.3" ShapeID="_x0000_i1063" DrawAspect="Content" ObjectID="_1703518120"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4pt;height:36pt" o:ole="">
            <v:imagedata r:id="rId76" o:title=""/>
          </v:shape>
          <o:OLEObject Type="Embed" ProgID="Equation.3" ShapeID="_x0000_i1064" DrawAspect="Content" ObjectID="_1703518121"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6pt;height:63pt" o:ole="">
              <v:imagedata r:id="rId78" o:title=""/>
            </v:shape>
            <o:OLEObject Type="Embed" ProgID="Equation.3" ShapeID="_x0000_i1065" DrawAspect="Content" ObjectID="_1703518122"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8pt;height:64.8pt" o:ole="">
                  <v:imagedata r:id="rId80" o:title=""/>
                </v:shape>
                <o:OLEObject Type="Embed" ProgID="Equation.3" ShapeID="_x0000_i1067" DrawAspect="Content" ObjectID="_1703518123"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2pt;height:21pt" o:ole="">
            <v:imagedata r:id="rId46" o:title=""/>
          </v:shape>
          <o:OLEObject Type="Embed" ProgID="Equation.3" ShapeID="_x0000_i1068" DrawAspect="Content" ObjectID="_1703518124"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4pt" o:ole="">
            <v:imagedata r:id="rId56" o:title=""/>
          </v:shape>
          <o:OLEObject Type="Embed" ProgID="Equation.3" ShapeID="_x0000_i1069" DrawAspect="Content" ObjectID="_1703518125"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w:t>
      </w:r>
      <w:r w:rsidR="002C76E1">
        <w:rPr>
          <w:sz w:val="24"/>
          <w:szCs w:val="24"/>
          <w:lang w:eastAsia="ru-RU"/>
        </w:rPr>
        <w:t>оценщику</w:t>
      </w:r>
      <w:r w:rsidRPr="00591BAB">
        <w:rPr>
          <w:sz w:val="24"/>
          <w:szCs w:val="24"/>
          <w:lang w:eastAsia="ru-RU"/>
        </w:rPr>
        <w:t xml:space="preserve">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w:t>
      </w:r>
      <w:r w:rsidR="002C76E1">
        <w:rPr>
          <w:sz w:val="24"/>
          <w:szCs w:val="24"/>
          <w:lang w:eastAsia="ru-RU"/>
        </w:rPr>
        <w:t>оценщику</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lastRenderedPageBreak/>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lastRenderedPageBreak/>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lastRenderedPageBreak/>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lastRenderedPageBreak/>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w:t>
            </w:r>
            <w:r w:rsidRPr="00591BAB">
              <w:rPr>
                <w:bCs/>
                <w:sz w:val="24"/>
                <w:szCs w:val="24"/>
              </w:rPr>
              <w:lastRenderedPageBreak/>
              <w:t>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4512F8"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4512F8"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4512F8"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4512F8"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lastRenderedPageBreak/>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4512F8"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4512F8"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w:t>
            </w:r>
            <w:r w:rsidR="003331D8" w:rsidRPr="00591BAB">
              <w:rPr>
                <w:sz w:val="24"/>
                <w:szCs w:val="24"/>
              </w:rPr>
              <w:lastRenderedPageBreak/>
              <w:t>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w:t>
            </w:r>
            <w:r w:rsidR="00855CA2" w:rsidRPr="00591BAB">
              <w:rPr>
                <w:sz w:val="24"/>
                <w:szCs w:val="24"/>
              </w:rPr>
              <w:lastRenderedPageBreak/>
              <w:t xml:space="preserve">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lastRenderedPageBreak/>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 xml:space="preserve">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w:t>
            </w:r>
            <w:r w:rsidRPr="00591BAB">
              <w:rPr>
                <w:sz w:val="24"/>
                <w:szCs w:val="24"/>
              </w:rPr>
              <w:lastRenderedPageBreak/>
              <w:t>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D339D9"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Еврооблигация </w:t>
            </w:r>
            <w:r w:rsidRPr="00591BAB">
              <w:rPr>
                <w:sz w:val="24"/>
                <w:szCs w:val="24"/>
              </w:rPr>
              <w:lastRenderedPageBreak/>
              <w:t>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lastRenderedPageBreak/>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w:t>
            </w:r>
            <w:r w:rsidRPr="00591BAB">
              <w:rPr>
                <w:sz w:val="24"/>
                <w:szCs w:val="24"/>
              </w:rPr>
              <w:lastRenderedPageBreak/>
              <w:t xml:space="preserve">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lastRenderedPageBreak/>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w:t>
            </w:r>
            <w:r w:rsidRPr="00591BAB">
              <w:rPr>
                <w:rFonts w:ascii="Times New Roman" w:eastAsia="Times New Roman" w:hAnsi="Times New Roman" w:cs="Times New Roman"/>
                <w:color w:val="auto"/>
                <w:sz w:val="24"/>
                <w:szCs w:val="24"/>
              </w:rPr>
              <w:lastRenderedPageBreak/>
              <w:t xml:space="preserve">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lastRenderedPageBreak/>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 xml:space="preserve">Для расчета выбирается соответствующая раскрытая ставка на срок, максимально </w:t>
            </w:r>
            <w:r w:rsidRPr="00591BAB">
              <w:lastRenderedPageBreak/>
              <w:t>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4512F8"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4512F8"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4512F8"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4512F8"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lastRenderedPageBreak/>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 xml:space="preserve">Ценная бумага, </w:t>
            </w:r>
            <w:r w:rsidRPr="00591BAB">
              <w:rPr>
                <w:iCs/>
                <w:sz w:val="24"/>
                <w:szCs w:val="24"/>
                <w:lang w:eastAsia="ru-RU"/>
              </w:rPr>
              <w:lastRenderedPageBreak/>
              <w:t>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lastRenderedPageBreak/>
              <w:t xml:space="preserve">В случае невозможности определить в общем порядке справедливую </w:t>
            </w:r>
            <w:r w:rsidRPr="00591BAB">
              <w:rPr>
                <w:sz w:val="24"/>
                <w:szCs w:val="24"/>
              </w:rPr>
              <w:lastRenderedPageBreak/>
              <w:t>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w:t>
            </w:r>
            <w:r w:rsidRPr="00591BAB">
              <w:rPr>
                <w:rFonts w:ascii="Times New Roman" w:eastAsia="Times New Roman" w:hAnsi="Times New Roman" w:cs="Times New Roman"/>
                <w:color w:val="auto"/>
                <w:sz w:val="24"/>
                <w:szCs w:val="24"/>
              </w:rPr>
              <w:lastRenderedPageBreak/>
              <w:t xml:space="preserve">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w:t>
            </w:r>
            <w:r w:rsidRPr="00591BAB">
              <w:rPr>
                <w:rFonts w:ascii="Times New Roman" w:eastAsia="Times New Roman" w:hAnsi="Times New Roman" w:cs="Times New Roman"/>
                <w:color w:val="auto"/>
                <w:sz w:val="24"/>
                <w:szCs w:val="24"/>
              </w:rPr>
              <w:lastRenderedPageBreak/>
              <w:t xml:space="preserve">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w:t>
            </w:r>
            <w:r w:rsidRPr="00591BAB">
              <w:rPr>
                <w:rFonts w:ascii="Times New Roman" w:eastAsia="Times New Roman" w:hAnsi="Times New Roman" w:cs="Times New Roman"/>
                <w:color w:val="auto"/>
                <w:sz w:val="24"/>
                <w:szCs w:val="24"/>
              </w:rPr>
              <w:lastRenderedPageBreak/>
              <w:t xml:space="preserve">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4512F8"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4512F8"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lastRenderedPageBreak/>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3518126"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4pt;height:21.6pt" o:ole="">
            <v:imagedata r:id="rId86" o:title=""/>
          </v:shape>
          <o:OLEObject Type="Embed" ProgID="Equation.3" ShapeID="_x0000_i1071" DrawAspect="Content" ObjectID="_1703518127"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4pt;height:21.6pt" o:ole="">
            <v:imagedata r:id="rId88" o:title=""/>
          </v:shape>
          <o:OLEObject Type="Embed" ProgID="Equation.3" ShapeID="_x0000_i1072" DrawAspect="Content" ObjectID="_1703518128"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lastRenderedPageBreak/>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4512F8"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4512F8"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4512F8"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4512F8"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4512F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4512F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4512F8"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4512F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4512F8"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4512F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4512F8"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4512F8"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4512F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w:t>
            </w:r>
            <w:r w:rsidRPr="00591BAB">
              <w:rPr>
                <w:sz w:val="24"/>
                <w:szCs w:val="24"/>
              </w:rPr>
              <w:lastRenderedPageBreak/>
              <w:t>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lastRenderedPageBreak/>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4512F8"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4512F8"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lastRenderedPageBreak/>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lastRenderedPageBreak/>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4512F8"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lastRenderedPageBreak/>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lastRenderedPageBreak/>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76FF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4512F8"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w:t>
      </w:r>
      <w:r w:rsidRPr="00591BAB">
        <w:rPr>
          <w:sz w:val="24"/>
          <w:szCs w:val="24"/>
        </w:rPr>
        <w:lastRenderedPageBreak/>
        <w:t>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lastRenderedPageBreak/>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lastRenderedPageBreak/>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591BAB">
        <w:rPr>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lastRenderedPageBreak/>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lastRenderedPageBreak/>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w:t>
      </w:r>
      <w:r w:rsidRPr="00591BAB">
        <w:rPr>
          <w:sz w:val="24"/>
          <w:szCs w:val="24"/>
        </w:rPr>
        <w:lastRenderedPageBreak/>
        <w:t>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lastRenderedPageBreak/>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lastRenderedPageBreak/>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w:t>
      </w:r>
      <w:r w:rsidRPr="00591BAB">
        <w:rPr>
          <w:sz w:val="24"/>
          <w:szCs w:val="24"/>
        </w:rPr>
        <w:lastRenderedPageBreak/>
        <w:t>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lastRenderedPageBreak/>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lastRenderedPageBreak/>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4512F8"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lastRenderedPageBreak/>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w:t>
      </w:r>
      <w:r w:rsidRPr="00591BAB">
        <w:rPr>
          <w:sz w:val="24"/>
          <w:szCs w:val="24"/>
        </w:rPr>
        <w:lastRenderedPageBreak/>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lastRenderedPageBreak/>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w:t>
      </w:r>
      <w:r w:rsidRPr="00591BAB">
        <w:rPr>
          <w:sz w:val="24"/>
          <w:szCs w:val="24"/>
        </w:rPr>
        <w:lastRenderedPageBreak/>
        <w:t xml:space="preserve">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w:t>
      </w:r>
      <w:r w:rsidRPr="00591BAB">
        <w:rPr>
          <w:sz w:val="24"/>
          <w:szCs w:val="24"/>
        </w:rPr>
        <w:lastRenderedPageBreak/>
        <w:t xml:space="preserve">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 xml:space="preserve">потребительские ссуды в точках продаж + ссуды </w:t>
            </w:r>
            <w:r w:rsidRPr="00591BAB">
              <w:rPr>
                <w:b/>
                <w:i/>
                <w:sz w:val="24"/>
                <w:szCs w:val="24"/>
                <w:lang w:eastAsia="ru-RU"/>
              </w:rPr>
              <w:lastRenderedPageBreak/>
              <w:t>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8048E"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lastRenderedPageBreak/>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lastRenderedPageBreak/>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8048E"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 xml:space="preserve">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w:t>
      </w:r>
      <w:r>
        <w:rPr>
          <w:b/>
          <w:color w:val="000000"/>
          <w:sz w:val="24"/>
          <w:szCs w:val="24"/>
        </w:rPr>
        <w:lastRenderedPageBreak/>
        <w:t>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lastRenderedPageBreak/>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4512F8"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lastRenderedPageBreak/>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lastRenderedPageBreak/>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lastRenderedPageBreak/>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lastRenderedPageBreak/>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lastRenderedPageBreak/>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lastRenderedPageBreak/>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w:t>
            </w:r>
            <w:r w:rsidR="00327A28" w:rsidRPr="00591BAB">
              <w:rPr>
                <w:bCs/>
                <w:sz w:val="24"/>
                <w:szCs w:val="24"/>
                <w:lang w:eastAsia="ru-RU"/>
              </w:rPr>
              <w:lastRenderedPageBreak/>
              <w:t>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w:t>
            </w:r>
            <w:r w:rsidRPr="00591BAB">
              <w:rPr>
                <w:bCs/>
                <w:sz w:val="24"/>
                <w:szCs w:val="24"/>
                <w:lang w:eastAsia="ru-RU"/>
              </w:rPr>
              <w:lastRenderedPageBreak/>
              <w:t>дисконтируется.</w:t>
            </w:r>
          </w:p>
        </w:tc>
      </w:tr>
      <w:tr w:rsidR="00591BAB" w:rsidRPr="00591BAB" w:rsidTr="006B3AC6">
        <w:tc>
          <w:tcPr>
            <w:tcW w:w="3085" w:type="dxa"/>
            <w:vAlign w:val="center"/>
          </w:tcPr>
          <w:p w:rsidR="002C65C0" w:rsidRPr="00591BAB" w:rsidRDefault="002C65C0" w:rsidP="00497A5E">
            <w:pPr>
              <w:spacing w:line="360" w:lineRule="auto"/>
              <w:jc w:val="both"/>
              <w:rPr>
                <w:bCs/>
                <w:sz w:val="24"/>
                <w:szCs w:val="24"/>
                <w:lang w:eastAsia="ru-RU"/>
              </w:rPr>
            </w:pPr>
            <w:r w:rsidRPr="00591BAB">
              <w:rPr>
                <w:bCs/>
                <w:sz w:val="24"/>
                <w:szCs w:val="24"/>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 xml:space="preserve">ельных платежей за счет имущества паевого </w:t>
            </w:r>
            <w:r w:rsidR="00717661" w:rsidRPr="00591BAB">
              <w:rPr>
                <w:bCs/>
                <w:sz w:val="24"/>
                <w:szCs w:val="24"/>
                <w:lang w:eastAsia="ru-RU"/>
              </w:rPr>
              <w:lastRenderedPageBreak/>
              <w:t>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lastRenderedPageBreak/>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w:t>
            </w:r>
            <w:r w:rsidRPr="00591BAB">
              <w:rPr>
                <w:bCs/>
                <w:sz w:val="24"/>
                <w:szCs w:val="24"/>
                <w:lang w:eastAsia="ru-RU"/>
              </w:rPr>
              <w:lastRenderedPageBreak/>
              <w:t>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Справедливая стоимость обязательства  включается в расчет СЧА в размере её остатка на дату определения СЧА. Не </w:t>
            </w:r>
            <w:r w:rsidRPr="00591BAB">
              <w:rPr>
                <w:bCs/>
                <w:sz w:val="24"/>
                <w:szCs w:val="24"/>
                <w:lang w:eastAsia="ru-RU"/>
              </w:rPr>
              <w:lastRenderedPageBreak/>
              <w:t>дисконтируется.</w:t>
            </w:r>
          </w:p>
        </w:tc>
      </w:tr>
      <w:tr w:rsidR="00591BAB" w:rsidRPr="00591BAB" w:rsidTr="007A1539">
        <w:tc>
          <w:tcPr>
            <w:tcW w:w="3085" w:type="dxa"/>
            <w:vAlign w:val="center"/>
          </w:tcPr>
          <w:p w:rsidR="00062ED1" w:rsidRPr="00591BAB" w:rsidRDefault="00062ED1" w:rsidP="00497A5E">
            <w:pPr>
              <w:spacing w:line="360" w:lineRule="auto"/>
              <w:jc w:val="both"/>
              <w:rPr>
                <w:bCs/>
                <w:sz w:val="24"/>
                <w:szCs w:val="24"/>
                <w:lang w:eastAsia="ru-RU"/>
              </w:rPr>
            </w:pPr>
            <w:r w:rsidRPr="00591BAB">
              <w:rPr>
                <w:bCs/>
                <w:sz w:val="24"/>
                <w:szCs w:val="24"/>
                <w:lang w:eastAsia="ru-RU"/>
              </w:rPr>
              <w:lastRenderedPageBreak/>
              <w:t>Кредиторская задолженность по вознаграждениям управляющей компании, специализированному депозитарию, оценщику</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w:t>
            </w:r>
            <w:r w:rsidRPr="00591BAB">
              <w:rPr>
                <w:bCs/>
                <w:sz w:val="24"/>
                <w:szCs w:val="24"/>
                <w:lang w:eastAsia="ru-RU"/>
              </w:rPr>
              <w:lastRenderedPageBreak/>
              <w:t>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lastRenderedPageBreak/>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lastRenderedPageBreak/>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Справедливая стоимость обязательства  включается </w:t>
            </w:r>
            <w:r w:rsidRPr="00591BAB">
              <w:rPr>
                <w:bCs/>
                <w:sz w:val="24"/>
                <w:szCs w:val="24"/>
                <w:lang w:eastAsia="ru-RU"/>
              </w:rPr>
              <w:lastRenderedPageBreak/>
              <w:t>в расчет СЧА в размере её остатка на дату определения СЧА. Не дисконтируется.</w:t>
            </w:r>
          </w:p>
        </w:tc>
      </w:tr>
      <w:tr w:rsidR="00212E3B" w:rsidRPr="00591BAB" w:rsidTr="006B3AC6">
        <w:trPr>
          <w:trHeight w:val="1221"/>
        </w:trPr>
        <w:tc>
          <w:tcPr>
            <w:tcW w:w="3085"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lastRenderedPageBreak/>
              <w:t>Кредиторская задолженность по выплате доходов владельцам инвестиционных паев.</w:t>
            </w:r>
          </w:p>
        </w:tc>
        <w:tc>
          <w:tcPr>
            <w:tcW w:w="4536"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 xml:space="preserve">Справедливая стоимость денежных средств в случае возникновения событий по обесценению корректируется в соответствии с порядком, </w:t>
            </w:r>
            <w:r w:rsidRPr="00591BAB">
              <w:rPr>
                <w:sz w:val="24"/>
                <w:szCs w:val="24"/>
              </w:rPr>
              <w:lastRenderedPageBreak/>
              <w:t>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w:t>
            </w:r>
            <w:r w:rsidRPr="00591BAB">
              <w:rPr>
                <w:sz w:val="24"/>
                <w:szCs w:val="24"/>
                <w:lang w:eastAsia="ru-RU"/>
              </w:rPr>
              <w:lastRenderedPageBreak/>
              <w:t xml:space="preserve">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 xml:space="preserve">Порядок корректировки </w:t>
            </w:r>
            <w:r w:rsidRPr="00591BAB">
              <w:rPr>
                <w:b/>
                <w:sz w:val="24"/>
                <w:szCs w:val="24"/>
                <w:lang w:eastAsia="ru-RU"/>
              </w:rPr>
              <w:lastRenderedPageBreak/>
              <w:t>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lastRenderedPageBreak/>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w:t>
            </w:r>
            <w:r w:rsidR="006F0033" w:rsidRPr="00591BAB">
              <w:rPr>
                <w:bCs/>
                <w:sz w:val="24"/>
                <w:szCs w:val="24"/>
              </w:rPr>
              <w:lastRenderedPageBreak/>
              <w:t xml:space="preserve">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lastRenderedPageBreak/>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 xml:space="preserve">в случае, если условия начисления процентов позволяют </w:t>
            </w:r>
            <w:r w:rsidR="00421397" w:rsidRPr="00591BAB">
              <w:rPr>
                <w:bCs/>
                <w:sz w:val="24"/>
                <w:szCs w:val="24"/>
                <w:lang w:eastAsia="ru-RU"/>
              </w:rPr>
              <w:lastRenderedPageBreak/>
              <w:t>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lastRenderedPageBreak/>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lastRenderedPageBreak/>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 xml:space="preserve">юридического лица, чьим участником </w:t>
            </w:r>
            <w:r w:rsidR="00871214" w:rsidRPr="00591BAB">
              <w:rPr>
                <w:bCs/>
                <w:sz w:val="24"/>
                <w:szCs w:val="24"/>
                <w:lang w:eastAsia="ru-RU"/>
              </w:rPr>
              <w:lastRenderedPageBreak/>
              <w:t>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lastRenderedPageBreak/>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 xml:space="preserve">Порядок корректировки </w:t>
            </w:r>
            <w:r w:rsidRPr="00591BAB">
              <w:rPr>
                <w:b/>
                <w:sz w:val="24"/>
                <w:szCs w:val="24"/>
                <w:lang w:eastAsia="ru-RU"/>
              </w:rPr>
              <w:lastRenderedPageBreak/>
              <w:t>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lastRenderedPageBreak/>
              <w:t xml:space="preserve">По окончании срока признания  дебиторской задолженности операционной, ее справедливая стоимость корректируется в соответствии с  </w:t>
            </w:r>
            <w:r w:rsidRPr="00591BAB">
              <w:rPr>
                <w:bCs/>
                <w:sz w:val="24"/>
                <w:szCs w:val="24"/>
              </w:rPr>
              <w:lastRenderedPageBreak/>
              <w:t xml:space="preserve">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 xml:space="preserve">(за исключением задолженности по </w:t>
            </w:r>
            <w:r w:rsidR="000D2B6A" w:rsidRPr="00591BAB">
              <w:rPr>
                <w:sz w:val="24"/>
                <w:szCs w:val="24"/>
              </w:rPr>
              <w:lastRenderedPageBreak/>
              <w:t>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lastRenderedPageBreak/>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w:t>
            </w:r>
            <w:r w:rsidRPr="00591BAB">
              <w:rPr>
                <w:bCs/>
                <w:sz w:val="24"/>
                <w:szCs w:val="24"/>
                <w:lang w:eastAsia="ru-RU"/>
              </w:rPr>
              <w:lastRenderedPageBreak/>
              <w:t>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lastRenderedPageBreak/>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lastRenderedPageBreak/>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lastRenderedPageBreak/>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lastRenderedPageBreak/>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2pt;height:34.8pt" o:ole="">
            <v:imagedata r:id="rId110" o:title=""/>
          </v:shape>
          <o:OLEObject Type="Embed" ProgID="Equation.3" ShapeID="_x0000_i1073" DrawAspect="Content" ObjectID="_1703518129"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xml:space="preserve">) в зависимости от кредитного рейтинга у выпуска долговой ценной бумаги (кредитный рейтинг в валюте </w:t>
      </w:r>
      <w:r w:rsidRPr="00591BAB">
        <w:rPr>
          <w:sz w:val="24"/>
          <w:szCs w:val="24"/>
        </w:rPr>
        <w:lastRenderedPageBreak/>
        <w:t>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lastRenderedPageBreak/>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4512F8"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4512F8"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lastRenderedPageBreak/>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4512F8"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4512F8"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4512F8"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4512F8"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lastRenderedPageBreak/>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lastRenderedPageBreak/>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lastRenderedPageBreak/>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4512F8"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lastRenderedPageBreak/>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w:t>
      </w:r>
      <w:r w:rsidRPr="00591BAB">
        <w:rPr>
          <w:sz w:val="24"/>
          <w:szCs w:val="24"/>
        </w:rPr>
        <w:lastRenderedPageBreak/>
        <w:t xml:space="preserve">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sectPr w:rsidR="006867E5"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DC" w:rsidRDefault="004830DC" w:rsidP="002C56E6">
      <w:r>
        <w:separator/>
      </w:r>
    </w:p>
  </w:endnote>
  <w:endnote w:type="continuationSeparator" w:id="0">
    <w:p w:rsidR="004830DC" w:rsidRDefault="004830DC"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20002A87" w:usb1="80000000" w:usb2="00000008"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geneva"/>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рЎю??Ўю¬в?Ўю¬Б?Ўю¬в|?Ўю¬в?"/>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altName w:val="Palatino Linotype"/>
    <w:panose1 w:val="02040503050406030204"/>
    <w:charset w:val="CC"/>
    <w:family w:val="roman"/>
    <w:pitch w:val="variable"/>
    <w:sig w:usb0="A00002EF" w:usb1="4000004B" w:usb2="00000000" w:usb3="00000000" w:csb0="0000019F" w:csb1="00000000"/>
  </w:font>
  <w:font w:name="Cambria Math">
    <w:altName w:val="Times New Roman"/>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4830DC" w:rsidRDefault="004830DC">
        <w:pPr>
          <w:pStyle w:val="ac"/>
          <w:jc w:val="right"/>
        </w:pPr>
        <w:r>
          <w:rPr>
            <w:noProof/>
          </w:rPr>
          <w:fldChar w:fldCharType="begin"/>
        </w:r>
        <w:r>
          <w:rPr>
            <w:noProof/>
          </w:rPr>
          <w:instrText>PAGE   \* MERGEFORMAT</w:instrText>
        </w:r>
        <w:r>
          <w:rPr>
            <w:noProof/>
          </w:rPr>
          <w:fldChar w:fldCharType="separate"/>
        </w:r>
        <w:r w:rsidR="004512F8">
          <w:rPr>
            <w:noProof/>
          </w:rPr>
          <w:t>2</w:t>
        </w:r>
        <w:r>
          <w:rPr>
            <w:noProof/>
          </w:rPr>
          <w:fldChar w:fldCharType="end"/>
        </w:r>
      </w:p>
    </w:sdtContent>
  </w:sdt>
  <w:p w:rsidR="004830DC" w:rsidRDefault="004830D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4830DC" w:rsidRDefault="004830DC">
        <w:pPr>
          <w:pStyle w:val="ac"/>
          <w:jc w:val="right"/>
        </w:pPr>
        <w:r>
          <w:rPr>
            <w:noProof/>
          </w:rPr>
          <w:fldChar w:fldCharType="begin"/>
        </w:r>
        <w:r>
          <w:rPr>
            <w:noProof/>
          </w:rPr>
          <w:instrText>PAGE   \* MERGEFORMAT</w:instrText>
        </w:r>
        <w:r>
          <w:rPr>
            <w:noProof/>
          </w:rPr>
          <w:fldChar w:fldCharType="separate"/>
        </w:r>
        <w:r w:rsidR="004512F8">
          <w:rPr>
            <w:noProof/>
          </w:rPr>
          <w:t>81</w:t>
        </w:r>
        <w:r>
          <w:rPr>
            <w:noProof/>
          </w:rPr>
          <w:fldChar w:fldCharType="end"/>
        </w:r>
      </w:p>
    </w:sdtContent>
  </w:sdt>
  <w:p w:rsidR="004830DC" w:rsidRDefault="004830D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4830DC" w:rsidRDefault="004830DC">
        <w:pPr>
          <w:pStyle w:val="ac"/>
          <w:jc w:val="right"/>
        </w:pPr>
        <w:r>
          <w:rPr>
            <w:noProof/>
          </w:rPr>
          <w:fldChar w:fldCharType="begin"/>
        </w:r>
        <w:r>
          <w:rPr>
            <w:noProof/>
          </w:rPr>
          <w:instrText>PAGE   \* MERGEFORMAT</w:instrText>
        </w:r>
        <w:r>
          <w:rPr>
            <w:noProof/>
          </w:rPr>
          <w:fldChar w:fldCharType="separate"/>
        </w:r>
        <w:r w:rsidR="004512F8">
          <w:rPr>
            <w:noProof/>
          </w:rPr>
          <w:t>116</w:t>
        </w:r>
        <w:r>
          <w:rPr>
            <w:noProof/>
          </w:rPr>
          <w:fldChar w:fldCharType="end"/>
        </w:r>
      </w:p>
    </w:sdtContent>
  </w:sdt>
  <w:p w:rsidR="004830DC" w:rsidRDefault="004830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DC" w:rsidRDefault="004830DC" w:rsidP="002C56E6">
      <w:r>
        <w:separator/>
      </w:r>
    </w:p>
  </w:footnote>
  <w:footnote w:type="continuationSeparator" w:id="0">
    <w:p w:rsidR="004830DC" w:rsidRDefault="004830DC" w:rsidP="002C56E6">
      <w:r>
        <w:continuationSeparator/>
      </w:r>
    </w:p>
  </w:footnote>
  <w:footnote w:id="1">
    <w:p w:rsidR="004830DC" w:rsidRPr="00E845C5" w:rsidRDefault="004830DC"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4830DC" w:rsidRPr="00E845C5" w:rsidRDefault="004830DC"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4830DC" w:rsidRPr="00E845C5" w:rsidRDefault="004830DC" w:rsidP="00E845C5">
      <w:pPr>
        <w:pStyle w:val="aff4"/>
      </w:pPr>
      <w:r w:rsidRPr="00E845C5">
        <w:t>В случае возникновения следующих событий:</w:t>
      </w:r>
    </w:p>
    <w:p w:rsidR="004830DC" w:rsidRPr="00E845C5" w:rsidRDefault="004830DC" w:rsidP="00E460D2">
      <w:pPr>
        <w:pStyle w:val="aff4"/>
        <w:numPr>
          <w:ilvl w:val="0"/>
          <w:numId w:val="49"/>
        </w:numPr>
      </w:pPr>
      <w:r w:rsidRPr="00E845C5">
        <w:t>Возникновение признаков обесценения, изложенных в приложении 4.</w:t>
      </w:r>
    </w:p>
    <w:p w:rsidR="004830DC" w:rsidRPr="00E845C5" w:rsidRDefault="004830DC"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4830DC" w:rsidRPr="00E845C5" w:rsidRDefault="004830DC"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4830DC" w:rsidRPr="00E845C5" w:rsidRDefault="004830DC"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4830DC" w:rsidRPr="00E845C5" w:rsidRDefault="004830DC" w:rsidP="00E845C5">
      <w:pPr>
        <w:pStyle w:val="aff4"/>
      </w:pPr>
      <w:r w:rsidRPr="00E845C5">
        <w:t>стоимость определяется в соответствии с порядком корректировки, предусмотренным Приложением 4.</w:t>
      </w:r>
    </w:p>
    <w:p w:rsidR="004830DC" w:rsidRPr="00CE2725" w:rsidRDefault="004830DC">
      <w:pPr>
        <w:pStyle w:val="aff4"/>
      </w:pPr>
    </w:p>
  </w:footnote>
  <w:footnote w:id="3">
    <w:p w:rsidR="004830DC" w:rsidRDefault="004830DC">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4830DC" w:rsidRDefault="004830DC">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4830DC" w:rsidRDefault="004830DC">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4830DC" w:rsidRDefault="004830DC"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4830DC" w:rsidRDefault="004830DC"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4830DC" w:rsidRPr="00B62470" w:rsidRDefault="004830DC"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4830DC" w:rsidRPr="00B62470" w:rsidRDefault="004830DC"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4830DC" w:rsidRDefault="004830DC"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4830DC" w:rsidRDefault="004830DC"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4830DC" w:rsidRPr="00341704" w:rsidRDefault="004830DC"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4830DC" w:rsidRPr="00341704" w:rsidRDefault="004830DC"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4830DC" w:rsidRDefault="004830DC"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4830DC" w:rsidRPr="004A14EE" w:rsidRDefault="004830DC" w:rsidP="000903F9">
      <w:pPr>
        <w:pStyle w:val="aff4"/>
        <w:rPr>
          <w:sz w:val="16"/>
        </w:rPr>
      </w:pPr>
      <w:r w:rsidRPr="004A14EE">
        <w:rPr>
          <w:rStyle w:val="afa"/>
          <w:sz w:val="16"/>
        </w:rPr>
        <w:footnoteRef/>
      </w:r>
      <w:r w:rsidRPr="004A14EE">
        <w:rPr>
          <w:sz w:val="16"/>
        </w:rPr>
        <w:t xml:space="preserve"> Кроме случаев </w:t>
      </w:r>
    </w:p>
    <w:p w:rsidR="004830DC" w:rsidRPr="004A14EE" w:rsidRDefault="004830DC"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4830DC" w:rsidRPr="00E2653F" w:rsidRDefault="004830DC"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4830DC" w:rsidRDefault="004830DC"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4830DC" w:rsidRDefault="004830DC"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4830DC" w:rsidRPr="00FE2BB4" w:rsidRDefault="004830DC"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4830DC" w:rsidRDefault="004830DC"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4830DC" w:rsidRDefault="004830DC"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4830DC" w:rsidRDefault="004830DC" w:rsidP="000903F9">
      <w:pPr>
        <w:pStyle w:val="aff4"/>
      </w:pPr>
      <w:r>
        <w:rPr>
          <w:rStyle w:val="afa"/>
        </w:rPr>
        <w:footnoteRef/>
      </w:r>
      <w:r>
        <w:t xml:space="preserve"> </w:t>
      </w:r>
      <w:r w:rsidRPr="006E7138">
        <w:t>https://ofd.nalog.ru/</w:t>
      </w:r>
    </w:p>
  </w:footnote>
  <w:footnote w:id="22">
    <w:p w:rsidR="004830DC" w:rsidRPr="00EA2976" w:rsidRDefault="004830DC"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4830DC" w:rsidRDefault="004830DC"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4830DC" w:rsidRPr="00AC2C21" w:rsidRDefault="004830DC"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4830DC" w:rsidRPr="00AC2C21" w:rsidRDefault="004830DC" w:rsidP="000903F9">
      <w:pPr>
        <w:pStyle w:val="aff4"/>
        <w:rPr>
          <w:sz w:val="16"/>
        </w:rPr>
      </w:pPr>
      <w:r w:rsidRPr="00AC2C21">
        <w:rPr>
          <w:sz w:val="16"/>
        </w:rPr>
        <w:t>LGD=1-RR,</w:t>
      </w:r>
    </w:p>
    <w:p w:rsidR="004830DC" w:rsidRPr="00AC2C21" w:rsidRDefault="004830DC" w:rsidP="000903F9">
      <w:pPr>
        <w:pStyle w:val="aff4"/>
        <w:rPr>
          <w:sz w:val="16"/>
        </w:rPr>
      </w:pPr>
      <w:r w:rsidRPr="00AC2C21">
        <w:rPr>
          <w:sz w:val="16"/>
        </w:rPr>
        <w:t>где:</w:t>
      </w:r>
    </w:p>
    <w:p w:rsidR="004830DC" w:rsidRDefault="004830DC"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4830DC" w:rsidRDefault="004830DC"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4830DC" w:rsidRDefault="004830DC" w:rsidP="000903F9">
      <w:pPr>
        <w:pStyle w:val="aff4"/>
      </w:pPr>
      <w:r>
        <w:rPr>
          <w:rStyle w:val="afa"/>
        </w:rPr>
        <w:footnoteRef/>
      </w:r>
      <w:r>
        <w:t xml:space="preserve"> Например, гостиницы, хостелы и т.п.</w:t>
      </w:r>
    </w:p>
  </w:footnote>
  <w:footnote w:id="27">
    <w:p w:rsidR="004830DC" w:rsidRDefault="004830DC"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4830DC" w:rsidRDefault="004830DC" w:rsidP="000903F9">
      <w:pPr>
        <w:pStyle w:val="aff4"/>
        <w:rPr>
          <w:rFonts w:ascii="Verdana" w:hAnsi="Verdana"/>
        </w:rPr>
      </w:pPr>
      <w:r>
        <w:rPr>
          <w:rStyle w:val="afa"/>
        </w:rPr>
        <w:footnoteRef/>
      </w:r>
      <w:r>
        <w:t xml:space="preserve"> https://www.otpbank.ru/about/akcyy/msfo/</w:t>
      </w:r>
    </w:p>
  </w:footnote>
  <w:footnote w:id="29">
    <w:p w:rsidR="004830DC" w:rsidRDefault="004830DC"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4830DC" w:rsidRDefault="004830DC"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4830DC" w:rsidRDefault="004830DC" w:rsidP="000903F9">
      <w:pPr>
        <w:pStyle w:val="aff4"/>
      </w:pPr>
      <w:r>
        <w:rPr>
          <w:rStyle w:val="afa"/>
        </w:rPr>
        <w:footnoteRef/>
      </w:r>
      <w:r>
        <w:t xml:space="preserve"> https://www.crediteurope.ru/finance/audit_reports/</w:t>
      </w:r>
    </w:p>
  </w:footnote>
  <w:footnote w:id="32">
    <w:p w:rsidR="004830DC" w:rsidRPr="00654741" w:rsidRDefault="004830DC"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4830DC" w:rsidRDefault="004830DC" w:rsidP="000903F9">
      <w:pPr>
        <w:pStyle w:val="aff4"/>
      </w:pPr>
    </w:p>
  </w:footnote>
  <w:footnote w:id="33">
    <w:p w:rsidR="004830DC" w:rsidRDefault="004830DC"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4830DC" w:rsidRDefault="004830DC"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4830DC" w:rsidRDefault="004830DC"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4830DC" w:rsidRDefault="004830DC"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4830DC" w:rsidRPr="00151F78" w:rsidRDefault="004830DC"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4830DC" w:rsidRPr="00151F78" w:rsidRDefault="004830DC"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4830DC" w:rsidRPr="00987453" w:rsidRDefault="004830DC"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830DC" w:rsidRPr="00987453" w:rsidRDefault="004830DC"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830DC" w:rsidRPr="00987453" w:rsidRDefault="004830DC"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4830DC" w:rsidRPr="00987453" w:rsidRDefault="004830DC"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830DC" w:rsidRPr="00987453" w:rsidRDefault="004830DC"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830DC" w:rsidRDefault="004830DC"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63E2DDB"/>
    <w:multiLevelType w:val="hybridMultilevel"/>
    <w:tmpl w:val="B0E2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9"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5469E"/>
    <w:multiLevelType w:val="hybridMultilevel"/>
    <w:tmpl w:val="A68CEED8"/>
    <w:lvl w:ilvl="0" w:tplc="878A2E5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5"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7"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7"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8" w15:restartNumberingAfterBreak="0">
    <w:nsid w:val="7707239C"/>
    <w:multiLevelType w:val="multilevel"/>
    <w:tmpl w:val="A89A992C"/>
    <w:lvl w:ilvl="0">
      <w:start w:val="1"/>
      <w:numFmt w:val="decimal"/>
      <w:lvlText w:val="%1."/>
      <w:lvlJc w:val="left"/>
      <w:pPr>
        <w:ind w:left="1080" w:hanging="360"/>
      </w:pPr>
      <w:rPr>
        <w:rFonts w:hint="default"/>
      </w:rPr>
    </w:lvl>
    <w:lvl w:ilvl="1">
      <w:start w:val="10"/>
      <w:numFmt w:val="decimal"/>
      <w:isLgl/>
      <w:lvlText w:val="%1.%2."/>
      <w:lvlJc w:val="left"/>
      <w:pPr>
        <w:ind w:left="1545" w:hanging="825"/>
      </w:pPr>
      <w:rPr>
        <w:rFonts w:hint="default"/>
      </w:rPr>
    </w:lvl>
    <w:lvl w:ilvl="2">
      <w:start w:val="4"/>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9"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2"/>
  </w:num>
  <w:num w:numId="4">
    <w:abstractNumId w:val="9"/>
  </w:num>
  <w:num w:numId="5">
    <w:abstractNumId w:val="42"/>
  </w:num>
  <w:num w:numId="6">
    <w:abstractNumId w:val="64"/>
  </w:num>
  <w:num w:numId="7">
    <w:abstractNumId w:val="20"/>
  </w:num>
  <w:num w:numId="8">
    <w:abstractNumId w:val="37"/>
  </w:num>
  <w:num w:numId="9">
    <w:abstractNumId w:val="46"/>
  </w:num>
  <w:num w:numId="10">
    <w:abstractNumId w:val="16"/>
  </w:num>
  <w:num w:numId="11">
    <w:abstractNumId w:val="63"/>
  </w:num>
  <w:num w:numId="12">
    <w:abstractNumId w:val="45"/>
  </w:num>
  <w:num w:numId="13">
    <w:abstractNumId w:val="32"/>
  </w:num>
  <w:num w:numId="14">
    <w:abstractNumId w:val="5"/>
  </w:num>
  <w:num w:numId="15">
    <w:abstractNumId w:val="49"/>
  </w:num>
  <w:num w:numId="16">
    <w:abstractNumId w:val="65"/>
  </w:num>
  <w:num w:numId="17">
    <w:abstractNumId w:val="66"/>
  </w:num>
  <w:num w:numId="18">
    <w:abstractNumId w:val="38"/>
  </w:num>
  <w:num w:numId="19">
    <w:abstractNumId w:val="52"/>
  </w:num>
  <w:num w:numId="20">
    <w:abstractNumId w:val="11"/>
  </w:num>
  <w:num w:numId="21">
    <w:abstractNumId w:val="25"/>
  </w:num>
  <w:num w:numId="22">
    <w:abstractNumId w:val="26"/>
  </w:num>
  <w:num w:numId="23">
    <w:abstractNumId w:val="13"/>
  </w:num>
  <w:num w:numId="24">
    <w:abstractNumId w:val="10"/>
  </w:num>
  <w:num w:numId="25">
    <w:abstractNumId w:val="33"/>
  </w:num>
  <w:num w:numId="26">
    <w:abstractNumId w:val="50"/>
  </w:num>
  <w:num w:numId="27">
    <w:abstractNumId w:val="34"/>
  </w:num>
  <w:num w:numId="28">
    <w:abstractNumId w:val="67"/>
  </w:num>
  <w:num w:numId="29">
    <w:abstractNumId w:val="62"/>
  </w:num>
  <w:num w:numId="30">
    <w:abstractNumId w:val="35"/>
  </w:num>
  <w:num w:numId="31">
    <w:abstractNumId w:val="57"/>
  </w:num>
  <w:num w:numId="32">
    <w:abstractNumId w:val="43"/>
  </w:num>
  <w:num w:numId="33">
    <w:abstractNumId w:val="70"/>
  </w:num>
  <w:num w:numId="34">
    <w:abstractNumId w:val="28"/>
  </w:num>
  <w:num w:numId="35">
    <w:abstractNumId w:val="73"/>
  </w:num>
  <w:num w:numId="36">
    <w:abstractNumId w:val="69"/>
  </w:num>
  <w:num w:numId="37">
    <w:abstractNumId w:val="0"/>
  </w:num>
  <w:num w:numId="38">
    <w:abstractNumId w:val="58"/>
  </w:num>
  <w:num w:numId="39">
    <w:abstractNumId w:val="8"/>
  </w:num>
  <w:num w:numId="40">
    <w:abstractNumId w:val="44"/>
  </w:num>
  <w:num w:numId="41">
    <w:abstractNumId w:val="71"/>
  </w:num>
  <w:num w:numId="42">
    <w:abstractNumId w:val="4"/>
  </w:num>
  <w:num w:numId="43">
    <w:abstractNumId w:val="21"/>
  </w:num>
  <w:num w:numId="44">
    <w:abstractNumId w:val="41"/>
  </w:num>
  <w:num w:numId="45">
    <w:abstractNumId w:val="47"/>
  </w:num>
  <w:num w:numId="46">
    <w:abstractNumId w:val="39"/>
  </w:num>
  <w:num w:numId="47">
    <w:abstractNumId w:val="1"/>
  </w:num>
  <w:num w:numId="48">
    <w:abstractNumId w:val="19"/>
  </w:num>
  <w:num w:numId="49">
    <w:abstractNumId w:val="3"/>
  </w:num>
  <w:num w:numId="50">
    <w:abstractNumId w:val="40"/>
  </w:num>
  <w:num w:numId="51">
    <w:abstractNumId w:val="60"/>
  </w:num>
  <w:num w:numId="52">
    <w:abstractNumId w:val="59"/>
  </w:num>
  <w:num w:numId="53">
    <w:abstractNumId w:val="27"/>
  </w:num>
  <w:num w:numId="54">
    <w:abstractNumId w:val="36"/>
  </w:num>
  <w:num w:numId="55">
    <w:abstractNumId w:val="24"/>
  </w:num>
  <w:num w:numId="56">
    <w:abstractNumId w:val="74"/>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0"/>
  </w:num>
  <w:num w:numId="60">
    <w:abstractNumId w:val="56"/>
  </w:num>
  <w:num w:numId="61">
    <w:abstractNumId w:val="7"/>
  </w:num>
  <w:num w:numId="62">
    <w:abstractNumId w:val="22"/>
  </w:num>
  <w:num w:numId="63">
    <w:abstractNumId w:val="17"/>
  </w:num>
  <w:num w:numId="64">
    <w:abstractNumId w:val="6"/>
  </w:num>
  <w:num w:numId="65">
    <w:abstractNumId w:val="31"/>
  </w:num>
  <w:num w:numId="66">
    <w:abstractNumId w:val="14"/>
  </w:num>
  <w:num w:numId="67">
    <w:abstractNumId w:val="23"/>
  </w:num>
  <w:num w:numId="68">
    <w:abstractNumId w:val="12"/>
  </w:num>
  <w:num w:numId="69">
    <w:abstractNumId w:val="54"/>
  </w:num>
  <w:num w:numId="70">
    <w:abstractNumId w:val="2"/>
  </w:num>
  <w:num w:numId="71">
    <w:abstractNumId w:val="51"/>
  </w:num>
  <w:num w:numId="72">
    <w:abstractNumId w:val="61"/>
  </w:num>
  <w:num w:numId="73">
    <w:abstractNumId w:val="53"/>
  </w:num>
  <w:num w:numId="74">
    <w:abstractNumId w:val="68"/>
  </w:num>
  <w:num w:numId="75">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1173"/>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41B3"/>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048E"/>
    <w:rsid w:val="0018165D"/>
    <w:rsid w:val="00182AFF"/>
    <w:rsid w:val="00183367"/>
    <w:rsid w:val="001835B2"/>
    <w:rsid w:val="0018438F"/>
    <w:rsid w:val="00185A14"/>
    <w:rsid w:val="001913F6"/>
    <w:rsid w:val="00192149"/>
    <w:rsid w:val="00193592"/>
    <w:rsid w:val="00193D0B"/>
    <w:rsid w:val="001961A5"/>
    <w:rsid w:val="00196BC2"/>
    <w:rsid w:val="001A0191"/>
    <w:rsid w:val="001A0783"/>
    <w:rsid w:val="001A1561"/>
    <w:rsid w:val="001A2E51"/>
    <w:rsid w:val="001A5C1F"/>
    <w:rsid w:val="001A79B8"/>
    <w:rsid w:val="001B07A2"/>
    <w:rsid w:val="001B3F4D"/>
    <w:rsid w:val="001B4329"/>
    <w:rsid w:val="001B46B8"/>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2E3B"/>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6E1"/>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42E"/>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271C"/>
    <w:rsid w:val="0040453E"/>
    <w:rsid w:val="00404815"/>
    <w:rsid w:val="00404A55"/>
    <w:rsid w:val="004050B3"/>
    <w:rsid w:val="00405ECA"/>
    <w:rsid w:val="004061A4"/>
    <w:rsid w:val="00406EF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12F8"/>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30DC"/>
    <w:rsid w:val="0048404B"/>
    <w:rsid w:val="0049018B"/>
    <w:rsid w:val="00492A4D"/>
    <w:rsid w:val="00497323"/>
    <w:rsid w:val="00497733"/>
    <w:rsid w:val="00497A5E"/>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C10"/>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547D"/>
    <w:rsid w:val="00607790"/>
    <w:rsid w:val="0061109D"/>
    <w:rsid w:val="006112C9"/>
    <w:rsid w:val="00611B2A"/>
    <w:rsid w:val="00611D2B"/>
    <w:rsid w:val="00611EB0"/>
    <w:rsid w:val="006134F3"/>
    <w:rsid w:val="0061437B"/>
    <w:rsid w:val="006145BC"/>
    <w:rsid w:val="00614C27"/>
    <w:rsid w:val="00621E80"/>
    <w:rsid w:val="00622960"/>
    <w:rsid w:val="00622A8F"/>
    <w:rsid w:val="00624AB8"/>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7E5"/>
    <w:rsid w:val="00686D49"/>
    <w:rsid w:val="00686F52"/>
    <w:rsid w:val="00687CE2"/>
    <w:rsid w:val="00690B73"/>
    <w:rsid w:val="00691382"/>
    <w:rsid w:val="0069163A"/>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25"/>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236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763F6"/>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4C8F"/>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39D9"/>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FFC"/>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0560"/>
    <w:rsid w:val="00E51DE0"/>
    <w:rsid w:val="00E52649"/>
    <w:rsid w:val="00E52731"/>
    <w:rsid w:val="00E52A6D"/>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3AD0"/>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044"/>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73AB8ACD"/>
  <w15:docId w15:val="{CDF0E871-E1ED-473B-B4F4-FBDAA825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3115D9-E654-4DA8-8DBA-F06FFA13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116</Pages>
  <Words>26766</Words>
  <Characters>152572</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Лазутина</cp:lastModifiedBy>
  <cp:revision>9</cp:revision>
  <cp:lastPrinted>2019-12-16T11:46:00Z</cp:lastPrinted>
  <dcterms:created xsi:type="dcterms:W3CDTF">2021-12-22T13:22:00Z</dcterms:created>
  <dcterms:modified xsi:type="dcterms:W3CDTF">2022-01-12T15:37:00Z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